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color w:val="1F4E79"/>
        </w:rPr>
        <w:t xml:space="preserve">Q1 2026 Sales Performance Report</w:t>
      </w:r>
    </w:p>
    <w:p>
      <w:pPr>
        <w:pBdr>
          <w:bottom w:val="single" w:color="1F4E79" w:sz="3"/>
        </w:pBdr>
        <w:spacing w:after="120"/>
      </w:pPr>
    </w:p>
    <w:p>
      <w:r>
        <w:rPr>
          <w:color w:val="5B6B7C"/>
          <w:sz w:val="20"/>
          <w:szCs w:val="20"/>
        </w:rPr>
        <w:t xml:space="preserve">Acme Corp</w:t>
      </w:r>
    </w:p>
    <w:p>
      <w:r>
        <w:rPr>
          <w:color w:val="5B6B7C"/>
          <w:sz w:val="20"/>
          <w:szCs w:val="20"/>
        </w:rPr>
        <w:t xml:space="preserve">Prepared by: Alex Carter</w:t>
      </w:r>
    </w:p>
    <w:p>
      <w:r>
        <w:rPr>
          <w:color w:val="5B6B7C"/>
          <w:sz w:val="20"/>
          <w:szCs w:val="20"/>
        </w:rPr>
        <w:t xml:space="preserve">2026-04-01</w:t>
      </w:r>
    </w:p>
    <w:p>
      <w:pPr>
        <w:pStyle w:val="Heading2"/>
        <w:spacing w:after="90"/>
      </w:pPr>
      <w:r>
        <w:rPr>
          <w:color w:val="1F4E79"/>
        </w:rPr>
        <w:t xml:space="preserve">Executive Summary</w:t>
      </w:r>
    </w:p>
    <w:p>
      <w:r>
        <w:t xml:space="preserve">[ Provide a high-level summary of the report's key findings and recommendations. Replace this placeholder text. ]</w:t>
      </w:r>
    </w:p>
    <w:p>
      <w:pPr>
        <w:pStyle w:val="Heading2"/>
        <w:spacing w:after="90"/>
      </w:pPr>
      <w:r>
        <w:rPr>
          <w:color w:val="1F4E79"/>
        </w:rPr>
        <w:t xml:space="preserve">Key Metrics</w:t>
      </w:r>
    </w:p>
    <w:p>
      <w:pPr>
        <w:spacing w:after="60"/>
      </w:pPr>
      <w:r>
        <w:rPr>
          <w:b/>
          <w:bCs/>
        </w:rPr>
        <w:t xml:space="preserve">Performance Overview</w:t>
      </w:r>
    </w:p>
    <w:p>
      <w:r>
        <w:drawing>
          <wp:inline distT="0" distB="0" distL="0" distR="0">
            <wp:extent cx="5972175" cy="2095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94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703"/>
        <w:gridCol w:w="4703"/>
      </w:tblGrid>
      <w:tr>
        <w:tc>
          <w:tcPr>
            <w:tcW w:type="dxa" w:w="47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b/>
                <w:bCs/>
              </w:rPr>
              <w:t xml:space="preserve">Revenue Trend</w:t>
            </w:r>
          </w:p>
          <w:p>
            <w:r>
              <w:drawing>
                <wp:inline distT="0" distB="0" distL="0" distR="0">
                  <wp:extent cx="2990850" cy="1714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b/>
                <w:bCs/>
              </w:rPr>
              <w:t xml:space="preserve">Revenue by Channel</w:t>
            </w:r>
          </w:p>
          <w:p>
            <w:r>
              <w:drawing>
                <wp:inline distT="0" distB="0" distL="0" distR="0">
                  <wp:extent cx="2990850" cy="1714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ageBreakBefore/>
      </w:pPr>
    </w:p>
    <w:p>
      <w:pPr>
        <w:pStyle w:val="Heading2"/>
        <w:spacing w:after="90"/>
      </w:pPr>
      <w:r>
        <w:rPr>
          <w:color w:val="1F4E79"/>
        </w:rPr>
        <w:t xml:space="preserve">Spend Breakdown</w:t>
      </w:r>
    </w:p>
    <w:p>
      <w:pPr>
        <w:spacing w:after="60"/>
      </w:pPr>
      <w:r>
        <w:rPr>
          <w:b/>
          <w:bCs/>
        </w:rPr>
        <w:t xml:space="preserve">Operating Spend by Category</w:t>
      </w:r>
    </w:p>
    <w:p>
      <w:r>
        <w:drawing>
          <wp:inline distT="0" distB="0" distL="0" distR="0">
            <wp:extent cx="5972175" cy="2476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/>
      </w:pPr>
    </w:p>
    <w:p>
      <w:pPr>
        <w:pStyle w:val="Heading2"/>
        <w:spacing w:after="90"/>
      </w:pPr>
      <w:r>
        <w:rPr>
          <w:color w:val="1F4E79"/>
        </w:rPr>
        <w:t xml:space="preserve">Regional Performance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52"/>
        <w:gridCol w:w="2352"/>
        <w:gridCol w:w="2352"/>
        <w:gridCol w:w="2352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color="E8E8E8" w:val="solid"/>
          </w:tcPr>
          <w:p>
            <w:r>
              <w:rPr>
                <w:b/>
                <w:bCs/>
                <w:sz w:val="20"/>
                <w:szCs w:val="20"/>
              </w:rPr>
              <w:t xml:space="preserve">Region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color="E8E8E8" w:val="solid"/>
          </w:tcPr>
          <w:p>
            <w:r>
              <w:rPr>
                <w:b/>
                <w:bCs/>
                <w:sz w:val="20"/>
                <w:szCs w:val="20"/>
              </w:rPr>
              <w:t xml:space="preserve">Q1 2026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color="E8E8E8" w:val="solid"/>
          </w:tcPr>
          <w:p>
            <w:r>
              <w:rPr>
                <w:b/>
                <w:bCs/>
                <w:sz w:val="20"/>
                <w:szCs w:val="20"/>
              </w:rPr>
              <w:t xml:space="preserve">Q2 2026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color="E8E8E8" w:val="solid"/>
          </w:tcPr>
          <w:p>
            <w:r>
              <w:rPr>
                <w:b/>
                <w:bCs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APAC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$31,700.00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$34,200.00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$65,900.00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EMEA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$41,800.00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$46,500.00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$88,300.00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North America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$58,200.00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$61,400.00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$119,600.00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color="F0F0F0" w:val="solid"/>
          </w:tcPr>
          <w:p>
            <w:r>
              <w:rPr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color="F0F0F0" w:val="solid"/>
          </w:tcPr>
          <w:p>
            <w:r>
              <w:rPr>
                <w:b/>
                <w:bCs/>
                <w:sz w:val="20"/>
                <w:szCs w:val="20"/>
              </w:rPr>
              <w:t xml:space="preserve">$131,700.00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color="F0F0F0" w:val="solid"/>
          </w:tcPr>
          <w:p>
            <w:r>
              <w:rPr>
                <w:b/>
                <w:bCs/>
                <w:sz w:val="20"/>
                <w:szCs w:val="20"/>
              </w:rPr>
              <w:t xml:space="preserve">$142,100.00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color="F0F0F0" w:val="solid"/>
          </w:tcPr>
          <w:p>
            <w:r>
              <w:rPr>
                <w:b/>
                <w:bCs/>
                <w:sz w:val="20"/>
                <w:szCs w:val="20"/>
              </w:rPr>
              <w:t xml:space="preserve">$273,800.00</w:t>
            </w:r>
          </w:p>
        </w:tc>
      </w:tr>
    </w:tbl>
    <w:p>
      <w:pPr>
        <w:pStyle w:val="Heading3"/>
        <w:spacing w:after="90"/>
      </w:pPr>
      <w:r>
        <w:rPr>
          <w:color w:val="1F4E79"/>
        </w:rPr>
        <w:t xml:space="preserve">Detail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135"/>
        <w:gridCol w:w="3135"/>
        <w:gridCol w:w="3135"/>
      </w:tblGrid>
      <w:tr>
        <w:trPr>
          <w:tblHeader/>
        </w:trPr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1F4E79" w:val="solid"/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1F4E79" w:val="solid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Value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4E79" w:color="1F4E79" w:val="solid"/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Note</w:t>
            </w:r>
          </w:p>
        </w:tc>
      </w:tr>
      <w:tr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left"/>
            </w:pPr>
            <w:r>
              <w:t xml:space="preserve">Total Revenue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right"/>
            </w:pPr>
            <w:r>
              <w:t xml:space="preserve">$131,700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left"/>
            </w:pPr>
            <w:r>
              <w:t xml:space="preserve">Up 12% from Q4 2025</w:t>
            </w:r>
          </w:p>
        </w:tc>
      </w:tr>
      <w:tr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9FC" w:color="F7F9FC" w:val="solid"/>
          </w:tcPr>
          <w:p>
            <w:pPr>
              <w:jc w:val="left"/>
            </w:pPr>
            <w:r>
              <w:t xml:space="preserve">New Clients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9FC" w:color="F7F9FC" w:val="solid"/>
          </w:tcPr>
          <w:p>
            <w:pPr>
              <w:jc w:val="right"/>
            </w:pPr>
            <w:r>
              <w:t xml:space="preserve">18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9FC" w:color="F7F9FC" w:val="solid"/>
          </w:tcPr>
          <w:p>
            <w:pPr>
              <w:jc w:val="left"/>
            </w:pPr>
            <w:r>
              <w:t xml:space="preserve">Target was 15</w:t>
            </w:r>
          </w:p>
        </w:tc>
      </w:tr>
      <w:tr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left"/>
            </w:pPr>
            <w:r>
              <w:t xml:space="preserve">Avg Deal Size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right"/>
            </w:pPr>
            <w:r>
              <w:t xml:space="preserve">$7,317</w:t>
            </w:r>
          </w:p>
        </w:tc>
        <w:tc>
          <w:tcPr>
            <w:tcW w:type="dxa" w:w="31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</w:tcPr>
          <w:p>
            <w:pPr>
              <w:jc w:val="left"/>
            </w:pPr>
            <w:r>
              <w:t xml:space="preserve">Down 3% from Q4 2025</w:t>
            </w:r>
          </w:p>
        </w:tc>
      </w:tr>
    </w:tbl>
    <w:p>
      <w:pPr>
        <w:pageBreakBefore/>
      </w:pPr>
    </w:p>
    <w:p>
      <w:pPr>
        <w:pStyle w:val="Heading2"/>
        <w:spacing w:after="90"/>
      </w:pPr>
      <w:r>
        <w:rPr>
          <w:color w:val="1F4E79"/>
        </w:rPr>
        <w:t xml:space="preserve">Findings</w:t>
      </w:r>
    </w:p>
    <w:p>
      <w:r>
        <w:t xml:space="preserve">[ Detail your analysis, observations, and conclusions. ]</w:t>
      </w:r>
    </w:p>
    <w:p>
      <w:pPr>
        <w:pStyle w:val="ListParagraph"/>
        <w:numPr>
          <w:ilvl w:val="0"/>
          <w:numId w:val="2"/>
        </w:numPr>
      </w:pPr>
      <w:r>
        <w:t xml:space="preserve">Finding one</w:t>
      </w:r>
    </w:p>
    <w:p>
      <w:pPr>
        <w:pStyle w:val="ListParagraph"/>
        <w:numPr>
          <w:ilvl w:val="0"/>
          <w:numId w:val="2"/>
        </w:numPr>
      </w:pPr>
      <w:r>
        <w:t xml:space="preserve">Finding two</w:t>
      </w:r>
    </w:p>
    <w:p>
      <w:pPr>
        <w:pStyle w:val="ListParagraph"/>
        <w:numPr>
          <w:ilvl w:val="0"/>
          <w:numId w:val="2"/>
        </w:numPr>
      </w:pPr>
      <w:r>
        <w:t xml:space="preserve">Finding three</w:t>
      </w:r>
    </w:p>
    <w:p>
      <w:pPr>
        <w:pStyle w:val="Heading2"/>
        <w:spacing w:after="90"/>
      </w:pPr>
      <w:r>
        <w:rPr>
          <w:color w:val="1F4E79"/>
        </w:rPr>
        <w:t xml:space="preserve">Recommendations</w:t>
      </w:r>
    </w:p>
    <w:p>
      <w:r>
        <w:t xml:space="preserve">[ Outline your recommended next steps based on the findings above. ]</w:t>
      </w:r>
    </w:p>
    <w:sectPr>
      <w:footerReference w:type="default" r:id="rId7"/>
      <w:pgSz w:w="12240" w:h="15840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888888"/>
        <w:sz w:val="14"/>
        <w:szCs w:val="14"/>
      </w:rPr>
      <w:t xml:space="preserve">Page </w:t>
    </w:r>
    <w:r>
      <w:rPr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4"/>
        <w:szCs w:val="14"/>
      </w:rPr>
      <w:t xml:space="preserve"> of </w:t>
    </w:r>
    <w:r>
      <w:rPr>
        <w:color w:val="888888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lowerLetter"/>
      <w:lvlText w:val="%2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a2a4e914af9130667dce6c8de16e3ebf8db31f5f.png"/><Relationship Id="rId9" Type="http://schemas.openxmlformats.org/officeDocument/2006/relationships/image" Target="media/451b6f0a276370af408131209856ae2ca51eb436.png"/><Relationship Id="rId10" Type="http://schemas.openxmlformats.org/officeDocument/2006/relationships/image" Target="media/768b76870c7dcf25aab3de21589008781d2af1d1.png"/><Relationship Id="rId11" Type="http://schemas.openxmlformats.org/officeDocument/2006/relationships/image" Target="media/b45b1577e7b933c09540bf1565ff287d7a801d76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Pulp Engine</dc:creator>
  <cp:lastModifiedBy>Un-named</cp:lastModifiedBy>
  <cp:revision>1</cp:revision>
  <dcterms:created xsi:type="dcterms:W3CDTF">2026-04-20T22:51:11.350Z</dcterms:created>
  <dcterms:modified xsi:type="dcterms:W3CDTF">2026-04-20T22:51:11.350Z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